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9B52" w14:textId="1C7274F0" w:rsidR="00BD517A" w:rsidRDefault="00BD517A">
      <w:pPr>
        <w:pStyle w:val="Titel"/>
        <w:spacing w:after="280"/>
      </w:pPr>
      <w:r>
        <w:rPr>
          <w:noProof/>
        </w:rPr>
        <w:drawing>
          <wp:inline distT="0" distB="0" distL="0" distR="0" wp14:anchorId="6DFCD45B" wp14:editId="465DA412">
            <wp:extent cx="1876687" cy="724001"/>
            <wp:effectExtent l="0" t="0" r="9525" b="0"/>
            <wp:docPr id="17291280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28035" name="Afbeelding 1729128035"/>
                    <pic:cNvPicPr/>
                  </pic:nvPicPr>
                  <pic:blipFill>
                    <a:blip r:embed="rId8"/>
                    <a:stretch>
                      <a:fillRect/>
                    </a:stretch>
                  </pic:blipFill>
                  <pic:spPr>
                    <a:xfrm>
                      <a:off x="0" y="0"/>
                      <a:ext cx="1876687" cy="724001"/>
                    </a:xfrm>
                    <a:prstGeom prst="rect">
                      <a:avLst/>
                    </a:prstGeom>
                  </pic:spPr>
                </pic:pic>
              </a:graphicData>
            </a:graphic>
          </wp:inline>
        </w:drawing>
      </w:r>
    </w:p>
    <w:p w14:paraId="6304B86D" w14:textId="3F8CC5A8" w:rsidR="00C34E2E" w:rsidRDefault="00000000">
      <w:pPr>
        <w:pStyle w:val="Titel"/>
        <w:spacing w:after="280"/>
      </w:pPr>
      <w:r>
        <w:t>Comment on the Initial Report of the Technical Study Group: gTLD Integrations with Alternative Naming Systems</w:t>
      </w:r>
    </w:p>
    <w:tbl>
      <w:tblPr>
        <w:tblW w:w="0" w:type="auto"/>
        <w:tblLayout w:type="fixed"/>
        <w:tblLook w:val="04A0" w:firstRow="1" w:lastRow="0" w:firstColumn="1" w:lastColumn="0" w:noHBand="0" w:noVBand="1"/>
      </w:tblPr>
      <w:tblGrid>
        <w:gridCol w:w="4824"/>
        <w:gridCol w:w="4824"/>
      </w:tblGrid>
      <w:tr w:rsidR="00C34E2E" w14:paraId="694E76AD" w14:textId="77777777">
        <w:tc>
          <w:tcPr>
            <w:tcW w:w="4824" w:type="dxa"/>
            <w:shd w:val="clear" w:color="auto" w:fill="F7F9FB"/>
            <w:tcMar>
              <w:top w:w="90" w:type="dxa"/>
              <w:left w:w="100" w:type="dxa"/>
              <w:bottom w:w="90" w:type="dxa"/>
              <w:right w:w="100" w:type="dxa"/>
            </w:tcMar>
            <w:vAlign w:val="center"/>
          </w:tcPr>
          <w:p w14:paraId="4724148D" w14:textId="77777777" w:rsidR="00C34E2E" w:rsidRDefault="00000000">
            <w:r>
              <w:rPr>
                <w:b/>
                <w:sz w:val="19"/>
              </w:rPr>
              <w:t>Proceeding</w:t>
            </w:r>
          </w:p>
        </w:tc>
        <w:tc>
          <w:tcPr>
            <w:tcW w:w="4824" w:type="dxa"/>
            <w:shd w:val="clear" w:color="auto" w:fill="F7F9FB"/>
            <w:tcMar>
              <w:top w:w="90" w:type="dxa"/>
              <w:left w:w="100" w:type="dxa"/>
              <w:bottom w:w="90" w:type="dxa"/>
              <w:right w:w="100" w:type="dxa"/>
            </w:tcMar>
            <w:vAlign w:val="center"/>
          </w:tcPr>
          <w:p w14:paraId="4E352EBA" w14:textId="77777777" w:rsidR="00C34E2E" w:rsidRDefault="00000000">
            <w:r>
              <w:rPr>
                <w:sz w:val="19"/>
              </w:rPr>
              <w:t>Initial Report of the TSG on gTLD Integrations with Alternative Naming Systems</w:t>
            </w:r>
          </w:p>
        </w:tc>
      </w:tr>
      <w:tr w:rsidR="00C34E2E" w14:paraId="2B34D453" w14:textId="77777777">
        <w:tc>
          <w:tcPr>
            <w:tcW w:w="4824" w:type="dxa"/>
            <w:shd w:val="clear" w:color="auto" w:fill="F7F9FB"/>
            <w:tcMar>
              <w:top w:w="90" w:type="dxa"/>
              <w:left w:w="100" w:type="dxa"/>
              <w:bottom w:w="90" w:type="dxa"/>
              <w:right w:w="100" w:type="dxa"/>
            </w:tcMar>
            <w:vAlign w:val="center"/>
          </w:tcPr>
          <w:p w14:paraId="022BB447" w14:textId="77777777" w:rsidR="00C34E2E" w:rsidRDefault="00000000">
            <w:r>
              <w:rPr>
                <w:b/>
                <w:sz w:val="19"/>
              </w:rPr>
              <w:t>Comment period</w:t>
            </w:r>
          </w:p>
        </w:tc>
        <w:tc>
          <w:tcPr>
            <w:tcW w:w="4824" w:type="dxa"/>
            <w:shd w:val="clear" w:color="auto" w:fill="F7F9FB"/>
            <w:tcMar>
              <w:top w:w="90" w:type="dxa"/>
              <w:left w:w="100" w:type="dxa"/>
              <w:bottom w:w="90" w:type="dxa"/>
              <w:right w:w="100" w:type="dxa"/>
            </w:tcMar>
            <w:vAlign w:val="center"/>
          </w:tcPr>
          <w:p w14:paraId="61AFAAB5" w14:textId="77777777" w:rsidR="00C34E2E" w:rsidRDefault="00000000">
            <w:r>
              <w:rPr>
                <w:sz w:val="19"/>
              </w:rPr>
              <w:t>Opened 10 August 2026 | Closes 21 September 2026, 23:59 UTC</w:t>
            </w:r>
          </w:p>
        </w:tc>
      </w:tr>
    </w:tbl>
    <w:p w14:paraId="1CB56BD0" w14:textId="77777777" w:rsidR="00C34E2E" w:rsidRDefault="00C34E2E"/>
    <w:p w14:paraId="76F5C621" w14:textId="77777777" w:rsidR="00C34E2E" w:rsidRDefault="00000000">
      <w:pPr>
        <w:pStyle w:val="Kop1"/>
      </w:pPr>
      <w:r>
        <w:t>Purpose of this submission</w:t>
      </w:r>
    </w:p>
    <w:p w14:paraId="4DBEC956" w14:textId="77777777" w:rsidR="00C34E2E" w:rsidRDefault="00000000">
      <w:pPr>
        <w:jc w:val="both"/>
      </w:pPr>
      <w:r>
        <w:t>This submission is a technical critique of the Initial Report. It takes no position on whether integration of gTLDs with alternative naming systems should be permitted, and it does not argue that the mechanism the report describes is unsafe. It argues that the report has answered a narrower question than it appears to, and that several of the requirements it proposes do not follow from the security property it establishes. The central observation is structural. Under the report's own scoping conditions, the exclusivity guarantee that the framework exists to protect is enforceable by a single party using facilities that party already controls. The externally-imposed requirements — protocol extensions, registry-published data, IANA registrations, changes across the registrar channel — therefore do not produce the security property. They distribute the implementation cost of a service whose commercial benefit accrues to the operator that requested it. The report does not analyse this, because it places cost and competition outside its scope, and the analysis is consequently incomplete in a way that matters to the evaluation ICANN is being asked to perform.</w:t>
      </w:r>
    </w:p>
    <w:p w14:paraId="2B3ED112" w14:textId="77777777" w:rsidR="00C34E2E" w:rsidRDefault="00000000">
      <w:pPr>
        <w:pStyle w:val="Kop2"/>
      </w:pPr>
      <w:r>
        <w:t>Finding 1 — Under the report's own scoping, exclusivity is an internal invariant</w:t>
      </w:r>
    </w:p>
    <w:p w14:paraId="23E75770" w14:textId="77777777" w:rsidR="00C34E2E" w:rsidRDefault="00000000">
      <w:pPr>
        <w:jc w:val="both"/>
      </w:pPr>
      <w:r>
        <w:t xml:space="preserve">§2 sets four conditions for the analysis, of which the second is that "[t]he operator of the service, and only that operator, operates the alternative naming system(s) (even if that operator then delegates some of its operational capabilities to others)." §4.2 reinforces this: "[i]f the registry operator does not control the use of the name in the alternative naming system, then the name is not a candidate for integration under the string+controller model." The consequence is that every naming system in scope is under the control of one party. The core requirement of §4.3 — that allocation of a name in any naming system must allocate or withhold the same name in all others, and only to the same controller — is therefore an invariant across data stores that a single operator owns or has contracted for. Enforcing it is a transaction, not a consensus problem. This creates an unacknowledged tension with §6. That section constructs a Unified Source of Truth for a system whose components may be "under the control of different parties," and observes that proving the USoT is genuinely unified grows harder as more naming systems participate. That is a serious problem in the general case. It is not the case §2 admits. Delegation under contract is not independence, and the report does not explain why an adversarial-distributed-systems treatment is required for an arrangement it has already scoped to a </w:t>
      </w:r>
      <w:r>
        <w:lastRenderedPageBreak/>
        <w:t>single controlling entity. The Final Report should state plainly whether §6's distributed treatment describes a case the framework actually permits. If it does not, the requirements derived from it need re-justification. If it does, §2's second condition should be amended to say so, because the two sections currently describe different systems.</w:t>
      </w:r>
    </w:p>
    <w:p w14:paraId="7D122A7E" w14:textId="77777777" w:rsidR="00C34E2E" w:rsidRDefault="00000000">
      <w:pPr>
        <w:pStyle w:val="Kop2"/>
      </w:pPr>
      <w:r>
        <w:t>Finding 2 — The externally-imposed mechanisms provide neither enforcement nor verification</w:t>
      </w:r>
    </w:p>
    <w:p w14:paraId="3CF51690" w14:textId="77777777" w:rsidR="00C34E2E" w:rsidRDefault="00000000">
      <w:pPr>
        <w:jc w:val="both"/>
      </w:pPr>
      <w:r>
        <w:t>Given Finding 1, the EPP and RDAP extensions required by §5 are not what makes exclusivity hold. The operator holds it regardless. The natural justification is that they make the state observable to others. That justification does not survive examination either. Every channel the report specifies is answered by the same party whose behaviour is in question. A registrar issuing an EPP check and a dispute provider issuing an RDAP query both receive the registry's own assertion about its own internal state, in two different formats. Publishing a claim in a standardised encoding is not independent verification of that claim. The asymmetry with existing practice is instructive. DNS-side state does not depend on registry assertion: the zone is publicly queryable from any vantage point, DNSSEC-signed, and subject to zone file access provisions. Nobody takes a registry's word for what resolves. The report establishes no equivalent for the alternative naming system. It requires that RDAP extensions be specified, published and registered with IANA so that the new data can be queried — but it never requires that the alternative naming system itself be independently readable. A registry could integrate an entirely opaque, privately-operated alt-naming system, satisfy every stated requirement, and leave its own RDAP service as the sole window onto the coupling it is asserting. Where the alternative naming system is publicly readable — a public ledger, for instance — genuine third-party verification becomes possible, because two independent public sources can be compared without asking the operator anything. That is a material distinction between candidate systems, and the report does not draw it. The Final Report should either require independent public readability of the integrated alternative naming system, or state explicitly that integrated state is registry-attested and not independently verifiable, so that evaluators and relying parties are not misled about what the mechanisms deliver.</w:t>
      </w:r>
    </w:p>
    <w:p w14:paraId="216F76A5" w14:textId="77777777" w:rsidR="00C34E2E" w:rsidRDefault="00000000">
      <w:pPr>
        <w:pStyle w:val="Kop2"/>
      </w:pPr>
      <w:r>
        <w:t>Finding 3 — Cost incidence: the requirements fall on parties that receive no corresponding benefit</w:t>
      </w:r>
    </w:p>
    <w:p w14:paraId="4C2753BC" w14:textId="77777777" w:rsidR="00C34E2E" w:rsidRDefault="00000000">
      <w:pPr>
        <w:jc w:val="both"/>
      </w:pPr>
      <w:r>
        <w:t>This finding follows from the first two and is the principal reason for this submission. The report proposes obligations that reach well beyond the applicant. §5 requires EPP extensions to the Domain Name Mapping or a new object mapping; RDAP extensions that "MUST be published and MUST be registered" with IANA; and, implicitly, that registrars be able to transact against them. §8.1 requires an availability check "in each naming system" at registration time — a check registrars must originate and interpret. §8.5 and §8.6 require deactivation and suspension semantics that reach into registrar-side abuse and compliance workflows. §8.7 and §8.8 alter registrant change and inter-registrar transfer, the latter already among the more failure-prone operations in the system. Each of these lands on registrars, registry service providers, escrow and monitoring providers, dispute resolution providers, and brand protection and abuse-handling functions. None of those parties requested the service. None of them earns from the alternative namespace. The revenue from the integrated names accrues to the registry operator that applied for the registry service. The report's stated reason for not examining this is that cost is out of scope. §5 acknowledges that registering names "some of which might not be intended ever to be candidates for entry into any global DNS zone" may have "cost implications for the prospective registry operator that are beyond the scope of this report" — and considers only the applicant's costs, not the channel's. §11 places "[p]olicy and competition matters in general" outside the study.</w:t>
      </w:r>
    </w:p>
    <w:p w14:paraId="1BC42B31" w14:textId="77777777" w:rsidR="00C34E2E" w:rsidRDefault="00000000">
      <w:pPr>
        <w:jc w:val="both"/>
      </w:pPr>
      <w:r>
        <w:lastRenderedPageBreak/>
        <w:t>Taken with Finding 1, the position is this: a requirement set that is not load-bearing for the security property is nonetheless imposed on parties external to the operator, and the report does not ask what those requirements cost or who pays them. That is not a neutral omission. A registry can enforce exclusivity inside its own systems today at negligible marginal cost. What it cannot do alone is make an integrated name transactable through the accredited registrar channel — and that is precisely the part the report proposes to standardise at industry expense. The Final Report should include an incidence analysis: for each proposed requirement, which party implements it, which party benefits, and whether the requirement is necessary to the security property or only to the commercial viability of the service. Requirements in the latter category should be identified as such.</w:t>
      </w:r>
    </w:p>
    <w:p w14:paraId="4FB9ACC0" w14:textId="77777777" w:rsidR="00C34E2E" w:rsidRDefault="00000000">
      <w:pPr>
        <w:pStyle w:val="Kop2"/>
      </w:pPr>
      <w:r>
        <w:t>Finding 4 — The RSEP competition limb is unaddressed by construction</w:t>
      </w:r>
    </w:p>
    <w:p w14:paraId="21251333" w14:textId="77777777" w:rsidR="00C34E2E" w:rsidRDefault="00000000">
      <w:pPr>
        <w:jc w:val="both"/>
      </w:pPr>
      <w:r>
        <w:t>§1 correctly identifies that integration constitutes a registry service under the Registry Services Evaluation Policy, and that ICANN must evaluate a proposed service "for potential security, stability, or competition concerns." The report addresses security and stability. It expressly declines competition (§11). ICANN org is therefore being handed technical advice on an evaluation with three limbs, one of which the advising group has ruled out of its own scope, in circumstances where — per Finding 3 — the competition-relevant effects are a direct consequence of the technical requirements proposed. Three such effects are visible in the report's own text and none is analysed:</w:t>
      </w:r>
    </w:p>
    <w:p w14:paraId="265E5004" w14:textId="77777777" w:rsidR="00C34E2E" w:rsidRDefault="00000000">
      <w:pPr>
        <w:pStyle w:val="Lijstnummering"/>
        <w:spacing w:after="80"/>
      </w:pPr>
      <w:r>
        <w:t>Channel incidence. §9.2 contemplates an alt-naming-system-primary mode in which change control flows</w:t>
      </w:r>
    </w:p>
    <w:p w14:paraId="0B305DAF" w14:textId="77777777" w:rsidR="00C34E2E" w:rsidRDefault="00000000">
      <w:pPr>
        <w:jc w:val="both"/>
      </w:pPr>
      <w:r>
        <w:t>through systems other than the registry's SRS. Any registration path that does not traverse the accredited registrar channel, while still consuming availability in the coupled DNS namespace, transfers transactions out of that channel while leaving its compliance obligations in place.</w:t>
      </w:r>
    </w:p>
    <w:p w14:paraId="5986A6D7" w14:textId="77777777" w:rsidR="00C34E2E" w:rsidRDefault="00000000">
      <w:pPr>
        <w:pStyle w:val="Lijstnummering"/>
        <w:spacing w:after="80"/>
      </w:pPr>
      <w:r>
        <w:t>Pricing asymmetry. Availability is the intersection across all integrated systems (§8.1, §4.3). The lowest-priced integrated namespace therefore sets the cost of denying a name in the highest-priced one.</w:t>
      </w:r>
    </w:p>
    <w:p w14:paraId="1DBB5CA6" w14:textId="77777777" w:rsidR="00C34E2E" w:rsidRDefault="00000000">
      <w:pPr>
        <w:pStyle w:val="Lijstnummering"/>
        <w:spacing w:after="80"/>
      </w:pPr>
      <w:r>
        <w:t>Enrollment of pre-existing namespaces. §8.3's corollary — that an alternative naming system brought into a</w:t>
      </w:r>
    </w:p>
    <w:p w14:paraId="37DE1E47" w14:textId="77777777" w:rsidR="00C34E2E" w:rsidRDefault="00000000">
      <w:pPr>
        <w:jc w:val="both"/>
      </w:pPr>
      <w:r>
        <w:t>gTLD must have its existing names enrolled and "at least withheld from the global DNS" — determines the availability of a portion of a gTLD's namespace by reference to registrations made outside ICANN's framework, under allocation rules ICANN has not reviewed. The Final Report should either address these effects or refer them explicitly to the appropriate ICANN process, rather than leaving an evaluation limb unserved.</w:t>
      </w:r>
    </w:p>
    <w:p w14:paraId="5F3C58B1" w14:textId="77777777" w:rsidR="00C34E2E" w:rsidRDefault="00000000">
      <w:pPr>
        <w:pStyle w:val="Kop2"/>
      </w:pPr>
      <w:r>
        <w:t>Finding 5 — Cost of denial is decoupled from cost of possession</w:t>
      </w:r>
    </w:p>
    <w:p w14:paraId="29236268" w14:textId="77777777" w:rsidR="00C34E2E" w:rsidRDefault="00000000">
      <w:pPr>
        <w:jc w:val="both"/>
      </w:pPr>
      <w:r>
        <w:t>In the global DNS, withholding a string from the market costs its market price, renewed annually. Under coupling, a registration in any integrated system withholds the string in every other. Where integrated systems are priced differently, denial in the more expensive namespace can be procured at the price of the cheaper one, and the denying party never acquires the DNS name at all. The report contains no discussion of pricing relationships between integrated systems, and no mechanism that would make a sweep of the cheaper namespace detectable or reversible. §4.3's integration-prohibited option and §10.1's advice that a public suffix maintain or disable integration lower in the tree are zone-level switches, not defences within an integrated zone.</w:t>
      </w:r>
    </w:p>
    <w:p w14:paraId="4D82FD08" w14:textId="77777777" w:rsidR="00C34E2E" w:rsidRDefault="00000000">
      <w:pPr>
        <w:jc w:val="both"/>
      </w:pPr>
      <w:r>
        <w:t>This is structurally the problem ICANN encountered with IDN variant blocking, where allocation of one label removes others from availability, and where the resolution was allocation policy rather than a technical control. The report inherits the Integrated Issues Report's name-state vocabulary (§3.1) without inheriting that lesson.</w:t>
      </w:r>
    </w:p>
    <w:p w14:paraId="35320029" w14:textId="77777777" w:rsidR="00C34E2E" w:rsidRDefault="00000000">
      <w:pPr>
        <w:pStyle w:val="Kop2"/>
      </w:pPr>
      <w:r>
        <w:lastRenderedPageBreak/>
        <w:t>Finding 6 — Coupled names have no reclamation path</w:t>
      </w:r>
    </w:p>
    <w:p w14:paraId="5A3D0015" w14:textId="77777777" w:rsidR="00C34E2E" w:rsidRDefault="00000000">
      <w:pPr>
        <w:jc w:val="both"/>
      </w:pPr>
      <w:r>
        <w:t>§8.4 provides that on expiry of the DNS registration, "[i]f the alt-name is to be maintained, then the DNS-name remains withheld and the alt-name remains active." Release requires a decision that the alt-name is no longer to be maintained. Where an integrated alternative naming system has no renewal cycle — several deployed alt-namespaces sell names as one-time purchases — no periodic event exists at which that decision is taken. Where the controller has additionally lost the means of control, no party exists to take it. The name then occupies a withheld state indefinitely: unresolvable in the DNS, unavailable for registration, generating no revenue and identifying no contactable controller. Expiry is the reclamation mechanism of the DNS. Coupling a gTLD to a system without an expiry cycle removes it for the coupled portion of the namespace, and the report does not address what replaces it. The Final Report should require that any integrated alternative naming system provide a defined path by which a coupled name returns to allocatable state.</w:t>
      </w:r>
    </w:p>
    <w:p w14:paraId="713901A3" w14:textId="77777777" w:rsidR="00C34E2E" w:rsidRDefault="00000000">
      <w:pPr>
        <w:pStyle w:val="Kop2"/>
      </w:pPr>
      <w:r>
        <w:t>Finding 7 — §4.6 is ambiguous between denial and reassignment, and the ambiguity is</w:t>
      </w:r>
    </w:p>
    <w:p w14:paraId="3300CC84" w14:textId="77777777" w:rsidR="00C34E2E" w:rsidRDefault="00000000">
      <w:pPr>
        <w:jc w:val="both"/>
      </w:pPr>
      <w:r>
        <w:t>consequential §4.6 requires that the operator "be able to provide all relevant control guarantees over any alt-name corresponding to an integrated DNS-name such that the alt-name cannot drift from the DNS-name in terms of string or controller," and, where exclusive control is absent, that it "demonstrate the ability to deny all other possible controls" over such alt-names. A denial power (the operator can prevent a name resolving or moving) and a reassignment power (the operator can transfer a name to a different controller) are materially different, and the text supports either reading. The distinction determines: whether an alternative naming system offering irrevocable, cryptographically-held ownership can be integrated at all, or is excluded by construction; whether a controller who has lost their key can be restored, or only frozen; what an applicant must actually demonstrate to an evaluator. If reassignment is required, the framework excludes the entire category of naming systems whose defining property is that control cannot be overridden. That is a substantive outcome reached by a group that placed policy outside its scope, and it should be stated deliberately rather than arrived at by implication. The Final Report should specify which power is required.</w:t>
      </w:r>
    </w:p>
    <w:p w14:paraId="40B2B8FF" w14:textId="77777777" w:rsidR="00C34E2E" w:rsidRDefault="00000000">
      <w:pPr>
        <w:pStyle w:val="Kop2"/>
      </w:pPr>
      <w:r>
        <w:t>Finding 8 — Integration cannot survive the operator, and turn-down is asymmetric</w:t>
      </w:r>
    </w:p>
    <w:p w14:paraId="236FEEB2" w14:textId="77777777" w:rsidR="00C34E2E" w:rsidRDefault="00000000">
      <w:pPr>
        <w:jc w:val="both"/>
      </w:pPr>
      <w:r>
        <w:t>§7.1 concedes that integration "appears to fall outside the category of 'critical registry functions,'" and therefore "cannot survive EBERO operation." §7 accordingly recommends a mandatory turn-down plan. A turn-down plan can dismantle the DNS side. It cannot dismantle the alternative naming system, whose names continue to exist and resolve for their own clients with no remaining relationship to the DNS. Turn-down therefore produces precisely the string-controller divergence the framework exists to prevent, at the moment of operator failure. A successor operator inherits strings encumbered by live, uncoupled alt-names held by third parties, and has two options: re-allocate the DNS names, creating the divergent-control condition §6.3 identifies as a source of confusion and fraud; or withhold them indefinitely, per Finding 6. The report also lists, among the open questions in §10, "[w]hat potential is there for a legal authority to break the object+controller integration," and does not answer it. Insolvency is the ordinary case: an alternative namespace is an asset of the failed operator's estate and may be sold to a party outside ICANN's contractual reach. The invariant on which the entire security argument rests can therefore be severed by a court with no technical failure occurring. The Final Report should require, as a condition of integration, that the alternative naming system be capable of being wound down or transferred to a successor operator, and should address the insolvency case directly rather than listing it.</w:t>
      </w:r>
    </w:p>
    <w:p w14:paraId="1824F743" w14:textId="77777777" w:rsidR="00C34E2E" w:rsidRDefault="00000000">
      <w:pPr>
        <w:pStyle w:val="Kop2"/>
      </w:pPr>
      <w:r>
        <w:lastRenderedPageBreak/>
        <w:t>Finding 9 — Control is demonstrated once, to an evaluator, and never again</w:t>
      </w:r>
    </w:p>
    <w:p w14:paraId="5D2E7B96" w14:textId="77777777" w:rsidR="00C34E2E" w:rsidRDefault="00000000">
      <w:pPr>
        <w:jc w:val="both"/>
      </w:pPr>
      <w:r>
        <w:t>§4.6 frames the control requirement as a demonstration made by an applicant: the operator "might provide the details of every interface" for introducing changes, and demonstrate "that the operator is the sole entity able" to use or authorise them. This is a point-in-time assertion to an RSEP evaluator. Nothing in the report requires continuous, externally-observable evidence that the coupling still holds in production. An operator that satisfies §4.6 during review and drifts subsequently fails no detectable test. Given</w:t>
      </w:r>
    </w:p>
    <w:p w14:paraId="5B4816D0" w14:textId="77777777" w:rsidR="00C34E2E" w:rsidRDefault="00000000">
      <w:pPr>
        <w:pStyle w:val="Kop2"/>
      </w:pPr>
      <w:r>
        <w:t>Finding 2 — that the specified query interfaces are answered by the operator itself — there is no mechanism by</w:t>
      </w:r>
    </w:p>
    <w:p w14:paraId="77A003EC" w14:textId="77777777" w:rsidR="00C34E2E" w:rsidRDefault="00000000">
      <w:pPr>
        <w:jc w:val="both"/>
      </w:pPr>
      <w:r>
        <w:t>which drift would come to light other than the operator reporting it. A well-established precedent exists for exactly this problem. Certificate Transparency was adopted because issuer self-attestation was insufficient, and the remedy was signed, append-only, publicly auditable logs permitting third parties to verify inclusion and consistency without trusting the issuer. The Final Report should require an equivalent: a signed, append-only, publicly auditable commitment to enrollment and allocation state across the integrated systems, so that divergence is detectable by relying parties rather than merely assertable by the operator.</w:t>
      </w:r>
    </w:p>
    <w:p w14:paraId="50C3772F" w14:textId="77777777" w:rsidR="00C34E2E" w:rsidRDefault="00000000">
      <w:pPr>
        <w:pStyle w:val="Kop1"/>
      </w:pPr>
      <w:r>
        <w:t>Questions the Final Report should answer</w:t>
      </w:r>
    </w:p>
    <w:p w14:paraId="75C0290D" w14:textId="77777777" w:rsidR="00C34E2E" w:rsidRDefault="00000000">
      <w:pPr>
        <w:pStyle w:val="Lijstnummering"/>
        <w:spacing w:after="80"/>
      </w:pPr>
      <w:r>
        <w:t>Does §6's distributed model describe an arrangement permitted by §2's scoping conditions? If not, why are</w:t>
      </w:r>
    </w:p>
    <w:p w14:paraId="67F3D5E6" w14:textId="77777777" w:rsidR="00C34E2E" w:rsidRDefault="00000000">
      <w:pPr>
        <w:jc w:val="both"/>
      </w:pPr>
      <w:r>
        <w:t>requirements derived from it retained?</w:t>
      </w:r>
    </w:p>
    <w:p w14:paraId="1061D444" w14:textId="77777777" w:rsidR="00C34E2E" w:rsidRDefault="00000000">
      <w:pPr>
        <w:pStyle w:val="Lijstnummering"/>
        <w:spacing w:after="80"/>
      </w:pPr>
      <w:r>
        <w:t>Which of the proposed requirements are necessary to the security property, and which are necessary only to</w:t>
      </w:r>
    </w:p>
    <w:p w14:paraId="1418E3E9" w14:textId="77777777" w:rsidR="00C34E2E" w:rsidRDefault="00000000">
      <w:pPr>
        <w:jc w:val="both"/>
      </w:pPr>
      <w:r>
        <w:t>make the service transactable through the registrar channel?</w:t>
      </w:r>
    </w:p>
    <w:p w14:paraId="19EC25C2" w14:textId="77777777" w:rsidR="00C34E2E" w:rsidRDefault="00000000">
      <w:pPr>
        <w:pStyle w:val="Lijstnummering"/>
        <w:spacing w:after="80"/>
      </w:pPr>
      <w:r>
        <w:t>What is the estimated implementation cost to registrars, registry service providers and dispute resolution</w:t>
      </w:r>
    </w:p>
    <w:p w14:paraId="13713B3A" w14:textId="77777777" w:rsidR="00C34E2E" w:rsidRDefault="00000000">
      <w:pPr>
        <w:jc w:val="both"/>
      </w:pPr>
      <w:r>
        <w:t>providers, and what analysis supports imposing it?</w:t>
      </w:r>
    </w:p>
    <w:p w14:paraId="79F9D8F0" w14:textId="77777777" w:rsidR="00C34E2E" w:rsidRDefault="00000000">
      <w:pPr>
        <w:pStyle w:val="Lijstnummering"/>
        <w:spacing w:after="80"/>
      </w:pPr>
      <w:r>
        <w:t>Does §4.6 require a denial power or a reassignment power?</w:t>
      </w:r>
    </w:p>
    <w:p w14:paraId="01046A39" w14:textId="77777777" w:rsidR="00C34E2E" w:rsidRDefault="00000000">
      <w:pPr>
        <w:pStyle w:val="Lijstnummering"/>
        <w:spacing w:after="80"/>
      </w:pPr>
      <w:r>
        <w:t>Are alternative naming systems offering irrevocable ownership integrable under this framework? If not, is</w:t>
      </w:r>
    </w:p>
    <w:p w14:paraId="216BCA13" w14:textId="77777777" w:rsidR="00C34E2E" w:rsidRDefault="00000000">
      <w:pPr>
        <w:jc w:val="both"/>
      </w:pPr>
      <w:r>
        <w:t>that intended?</w:t>
      </w:r>
    </w:p>
    <w:p w14:paraId="3F340BAD" w14:textId="77777777" w:rsidR="00C34E2E" w:rsidRDefault="00000000">
      <w:pPr>
        <w:pStyle w:val="Lijstnummering"/>
        <w:spacing w:after="80"/>
      </w:pPr>
      <w:r>
        <w:t>Must an integrated alternative naming system be independently publicly readable?</w:t>
      </w:r>
    </w:p>
    <w:p w14:paraId="4AB0C9D8" w14:textId="77777777" w:rsidR="00C34E2E" w:rsidRDefault="00000000">
      <w:pPr>
        <w:pStyle w:val="Lijstnummering"/>
        <w:spacing w:after="80"/>
      </w:pPr>
      <w:r>
        <w:t>By what mechanism does a coupled name return to allocatable state where the alternative naming system has</w:t>
      </w:r>
    </w:p>
    <w:p w14:paraId="7B3C4B77" w14:textId="77777777" w:rsidR="00C34E2E" w:rsidRDefault="00000000">
      <w:pPr>
        <w:jc w:val="both"/>
      </w:pPr>
      <w:r>
        <w:t>no expiry cycle?</w:t>
      </w:r>
    </w:p>
    <w:p w14:paraId="532818ED" w14:textId="77777777" w:rsidR="00C34E2E" w:rsidRDefault="00000000">
      <w:pPr>
        <w:pStyle w:val="Lijstnummering"/>
        <w:spacing w:after="80"/>
      </w:pPr>
      <w:r>
        <w:t>What becomes of alt-names on turn-down, EBERO invocation, or operator insolvency?</w:t>
      </w:r>
    </w:p>
    <w:p w14:paraId="44513050" w14:textId="77777777" w:rsidR="00C34E2E" w:rsidRDefault="00000000">
      <w:pPr>
        <w:pStyle w:val="Lijstnummering"/>
        <w:spacing w:after="80"/>
      </w:pPr>
      <w:r>
        <w:t>What continuous evidence must an operator produce that the string+controller property still holds after</w:t>
      </w:r>
    </w:p>
    <w:p w14:paraId="79B73C55" w14:textId="77777777" w:rsidR="00C34E2E" w:rsidRDefault="00000000">
      <w:pPr>
        <w:jc w:val="both"/>
      </w:pPr>
      <w:r>
        <w:t>approval?</w:t>
      </w:r>
    </w:p>
    <w:p w14:paraId="05928FD4" w14:textId="77777777" w:rsidR="00C34E2E" w:rsidRDefault="00000000">
      <w:pPr>
        <w:pStyle w:val="Kop1"/>
      </w:pPr>
      <w:r>
        <w:lastRenderedPageBreak/>
        <w:t>Summary</w:t>
      </w:r>
    </w:p>
    <w:p w14:paraId="62A470BC" w14:textId="77777777" w:rsidR="00C34E2E" w:rsidRDefault="00000000">
      <w:pPr>
        <w:jc w:val="both"/>
      </w:pPr>
      <w:r>
        <w:t>The report establishes, credibly, that same-string-same-controller integration can be operated without harm to the DNS given adequate controls. That conclusion is not disputed here. What the report does not establish is that the requirements it proposes are the requirements that conclusion implies. Under its own scoping, the exclusivity property is enforceable by one party inside systems that party controls. The mechanisms proposed for the wider industry do not create that property and do not independently verify it; they make the resulting service transactable, and they distribute its implementation cost across parties that neither requested the service nor share in its revenue. The report does not examine that distribution, having placed cost and competition outside its scope, while advising on an evaluation for which competition is a named criterion. The remaining findings — reclamation, wind-down, insolvency, the denial/reassignment ambiguity, and the absence of continuous verifiability — are open questions that would each require an answer before any application could be evaluated against this framework in practice.</w:t>
      </w:r>
    </w:p>
    <w:sectPr w:rsidR="00C34E2E" w:rsidSect="00034616">
      <w:headerReference w:type="default" r:id="rId9"/>
      <w:footerReference w:type="default" r:id="rId10"/>
      <w:pgSz w:w="12240" w:h="15840"/>
      <w:pgMar w:top="1123" w:right="1296" w:bottom="1037"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C4241" w14:textId="77777777" w:rsidR="00827800" w:rsidRDefault="00827800">
      <w:pPr>
        <w:spacing w:after="0" w:line="240" w:lineRule="auto"/>
      </w:pPr>
      <w:r>
        <w:separator/>
      </w:r>
    </w:p>
  </w:endnote>
  <w:endnote w:type="continuationSeparator" w:id="0">
    <w:p w14:paraId="220B52AE" w14:textId="77777777" w:rsidR="00827800" w:rsidRDefault="00827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F3D8C" w14:textId="77777777" w:rsidR="00C34E2E" w:rsidRDefault="00000000">
    <w:pPr>
      <w:pStyle w:val="Voettekst"/>
      <w:jc w:val="center"/>
    </w:pPr>
    <w:r>
      <w:rPr>
        <w:color w:val="5A646E"/>
        <w:sz w:val="16"/>
      </w:rPr>
      <w:t xml:space="preserve">Page </w:t>
    </w:r>
    <w:r>
      <w:fldChar w:fldCharType="begin"/>
    </w:r>
    <w:r>
      <w:instrText>PAGE</w:instrText>
    </w:r>
    <w:r>
      <w:fldChar w:fldCharType="separate"/>
    </w:r>
    <w:r w:rsidR="00BD517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6726E" w14:textId="77777777" w:rsidR="00827800" w:rsidRDefault="00827800">
      <w:pPr>
        <w:spacing w:after="0" w:line="240" w:lineRule="auto"/>
      </w:pPr>
      <w:r>
        <w:separator/>
      </w:r>
    </w:p>
  </w:footnote>
  <w:footnote w:type="continuationSeparator" w:id="0">
    <w:p w14:paraId="6D3E2235" w14:textId="77777777" w:rsidR="00827800" w:rsidRDefault="00827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D241" w14:textId="77777777" w:rsidR="00C34E2E" w:rsidRDefault="00000000">
    <w:r>
      <w:rPr>
        <w:b/>
        <w:color w:val="5A646E"/>
        <w:sz w:val="16"/>
      </w:rPr>
      <w:t>PUBLIC COMMENT  |  TSG ON gTLD INTEGRATIONS WITH ALTERNATIVE NAMING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607469927">
    <w:abstractNumId w:val="8"/>
  </w:num>
  <w:num w:numId="2" w16cid:durableId="967006659">
    <w:abstractNumId w:val="6"/>
  </w:num>
  <w:num w:numId="3" w16cid:durableId="1878472098">
    <w:abstractNumId w:val="5"/>
  </w:num>
  <w:num w:numId="4" w16cid:durableId="858734107">
    <w:abstractNumId w:val="4"/>
  </w:num>
  <w:num w:numId="5" w16cid:durableId="2130053485">
    <w:abstractNumId w:val="7"/>
  </w:num>
  <w:num w:numId="6" w16cid:durableId="1734308880">
    <w:abstractNumId w:val="3"/>
  </w:num>
  <w:num w:numId="7" w16cid:durableId="1771272301">
    <w:abstractNumId w:val="2"/>
  </w:num>
  <w:num w:numId="8" w16cid:durableId="1954554258">
    <w:abstractNumId w:val="1"/>
  </w:num>
  <w:num w:numId="9" w16cid:durableId="1624536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27800"/>
    <w:rsid w:val="00AA1D8D"/>
    <w:rsid w:val="00B47730"/>
    <w:rsid w:val="00BD517A"/>
    <w:rsid w:val="00C34E2E"/>
    <w:rsid w:val="00CB0664"/>
    <w:rsid w:val="00D811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72F6E"/>
  <w14:defaultImageDpi w14:val="300"/>
  <w15:docId w15:val="{7013A527-FA72-4B25-8BC4-E1B4CBFB6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20" w:line="269" w:lineRule="auto"/>
    </w:pPr>
    <w:rPr>
      <w:rFonts w:ascii="Arial" w:hAnsi="Arial"/>
      <w:sz w:val="21"/>
    </w:rPr>
  </w:style>
  <w:style w:type="paragraph" w:styleId="Kop1">
    <w:name w:val="heading 1"/>
    <w:basedOn w:val="Standaard"/>
    <w:next w:val="Standaard"/>
    <w:link w:val="Kop1Char"/>
    <w:uiPriority w:val="9"/>
    <w:qFormat/>
    <w:rsid w:val="00FC693F"/>
    <w:pPr>
      <w:keepNext/>
      <w:keepLines/>
      <w:spacing w:before="320" w:after="140"/>
      <w:outlineLvl w:val="0"/>
    </w:pPr>
    <w:rPr>
      <w:rFonts w:asciiTheme="majorHAnsi" w:eastAsiaTheme="majorEastAsia" w:hAnsiTheme="majorHAnsi" w:cstheme="majorBidi"/>
      <w:b/>
      <w:bCs/>
      <w:color w:val="17365D"/>
      <w:sz w:val="30"/>
      <w:szCs w:val="28"/>
    </w:rPr>
  </w:style>
  <w:style w:type="paragraph" w:styleId="Kop2">
    <w:name w:val="heading 2"/>
    <w:basedOn w:val="Standaard"/>
    <w:next w:val="Standaard"/>
    <w:link w:val="Kop2Char"/>
    <w:uiPriority w:val="9"/>
    <w:unhideWhenUsed/>
    <w:qFormat/>
    <w:rsid w:val="00FC693F"/>
    <w:pPr>
      <w:keepNext/>
      <w:keepLines/>
      <w:spacing w:before="260"/>
      <w:outlineLvl w:val="1"/>
    </w:pPr>
    <w:rPr>
      <w:rFonts w:asciiTheme="majorHAnsi" w:eastAsiaTheme="majorEastAsia" w:hAnsiTheme="majorHAnsi" w:cstheme="majorBidi"/>
      <w:b/>
      <w:bCs/>
      <w:color w:val="17365D"/>
      <w:sz w:val="24"/>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ind w:left="360"/>
      <w:contextualSpacing/>
    </w:pPr>
  </w:style>
  <w:style w:type="paragraph" w:styleId="Lijstvoortzetting2">
    <w:name w:val="List Continue 2"/>
    <w:basedOn w:val="Standaard"/>
    <w:uiPriority w:val="99"/>
    <w:unhideWhenUsed/>
    <w:rsid w:val="0029639D"/>
    <w:pPr>
      <w:ind w:left="720"/>
      <w:contextualSpacing/>
    </w:pPr>
  </w:style>
  <w:style w:type="paragraph" w:styleId="Lijstvoortzetting3">
    <w:name w:val="List Continue 3"/>
    <w:basedOn w:val="Standaard"/>
    <w:uiPriority w:val="99"/>
    <w:unhideWhenUsed/>
    <w:rsid w:val="0029639D"/>
    <w:pPr>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2798</Words>
  <Characters>15954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 on the Initial Report of the Technical Study Group: gTLD Integrations with Alternative Naming Systems</dc:title>
  <dc:subject>Public comment on the Initial Report of the Technical Study Group</dc:subject>
  <dc:creator>Theo Geurts</dc:creator>
  <cp:keywords/>
  <dc:description>generated by python-docx</dc:description>
  <cp:lastModifiedBy>Theo Geurts</cp:lastModifiedBy>
  <cp:revision>2</cp:revision>
  <dcterms:created xsi:type="dcterms:W3CDTF">2026-09-15T11:33:00Z</dcterms:created>
  <dcterms:modified xsi:type="dcterms:W3CDTF">2026-09-15T11:33:00Z</dcterms:modified>
  <cp:category/>
</cp:coreProperties>
</file>